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495"/>
        <w:gridCol w:w="3450"/>
        <w:tblGridChange w:id="0">
          <w:tblGrid>
            <w:gridCol w:w="1770"/>
            <w:gridCol w:w="4080"/>
            <w:gridCol w:w="495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DE PORTÃO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Porto Alegre, 488 - Bairro Estação Portão - Portão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Contabilidade,</w:t>
      </w:r>
      <w:r w:rsidDel="00000000" w:rsidR="00000000" w:rsidRPr="00000000">
        <w:rPr>
          <w:color w:val="000000"/>
          <w:rtl w:val="0"/>
        </w:rPr>
        <w:t xml:space="preserve"> inscrito no Cadastro Nacional de Aprendizagem (CNAP) sob o nº </w:t>
      </w:r>
      <w:r w:rsidDel="00000000" w:rsidR="00000000" w:rsidRPr="00000000">
        <w:rPr>
          <w:rtl w:val="0"/>
        </w:rPr>
        <w:t xml:space="preserve">308820.7078683/2026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ZKVRpXPiadtDjWzQMtoQmNuTg==">CgMxLjAyCGguZ2pkZ3hzOAByITFhZUlLYjRLQzlsWWZCN1NJZWVUV0xidmNuS3BFX3RaTg==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